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F6" w:rsidRPr="009A562E" w:rsidRDefault="007F524E" w:rsidP="009D10F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ylfaen" w:hAnsi="Sylfaen" w:cs="Helvetica"/>
          <w:color w:val="131313"/>
          <w:lang w:val="hy-AM"/>
        </w:rPr>
      </w:pPr>
      <w:r w:rsidRPr="009A562E">
        <w:rPr>
          <w:rFonts w:ascii="Sylfaen" w:hAnsi="Sylfaen" w:cs="Sylfaen"/>
          <w:color w:val="131313"/>
          <w:lang w:val="hy-AM"/>
        </w:rPr>
        <w:t xml:space="preserve"> </w:t>
      </w:r>
      <w:bookmarkStart w:id="0" w:name="_GoBack"/>
      <w:bookmarkEnd w:id="0"/>
      <w:r w:rsidR="00794972" w:rsidRPr="009A562E">
        <w:rPr>
          <w:rFonts w:ascii="Sylfaen" w:hAnsi="Sylfaen" w:cs="Sylfaen"/>
          <w:color w:val="131313"/>
          <w:lang w:val="hy-AM"/>
        </w:rPr>
        <w:t>Համաշխարհային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8E6129" w:rsidRPr="009A562E">
        <w:rPr>
          <w:rFonts w:ascii="Sylfaen" w:hAnsi="Sylfaen" w:cs="Sylfaen"/>
          <w:color w:val="131313"/>
          <w:lang w:val="hy-AM"/>
        </w:rPr>
        <w:t>բ</w:t>
      </w:r>
      <w:r w:rsidR="002404E5" w:rsidRPr="009A562E">
        <w:rPr>
          <w:rFonts w:ascii="Sylfaen" w:hAnsi="Sylfaen" w:cs="Sylfaen"/>
          <w:color w:val="131313"/>
          <w:lang w:val="hy-AM"/>
        </w:rPr>
        <w:t>անկը յուրաքանչյուր տարի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2404E5" w:rsidRPr="009A562E">
        <w:rPr>
          <w:rFonts w:ascii="Sylfaen" w:hAnsi="Sylfaen" w:cs="Helvetica"/>
          <w:color w:val="131313"/>
          <w:lang w:val="hy-AM"/>
        </w:rPr>
        <w:t xml:space="preserve">հրապարակում է </w:t>
      </w:r>
      <w:r w:rsidR="00794972" w:rsidRPr="009A562E">
        <w:rPr>
          <w:rFonts w:ascii="Sylfaen" w:hAnsi="Sylfaen" w:cs="Helvetica"/>
          <w:color w:val="131313"/>
          <w:lang w:val="hy-AM"/>
        </w:rPr>
        <w:t>«</w:t>
      </w:r>
      <w:r w:rsidR="00794972" w:rsidRPr="009A562E">
        <w:rPr>
          <w:rFonts w:ascii="Sylfaen" w:hAnsi="Sylfaen" w:cs="Sylfaen"/>
          <w:color w:val="131313"/>
          <w:lang w:val="hy-AM"/>
        </w:rPr>
        <w:t>Գործարարությամբ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զբաղվելը</w:t>
      </w:r>
      <w:r w:rsidR="00794972" w:rsidRPr="009A562E">
        <w:rPr>
          <w:rFonts w:ascii="Sylfaen" w:hAnsi="Sylfaen" w:cs="Helvetica"/>
          <w:color w:val="131313"/>
          <w:lang w:val="hy-AM"/>
        </w:rPr>
        <w:t>»</w:t>
      </w:r>
      <w:r w:rsidR="009A562E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զեկույցը</w:t>
      </w:r>
      <w:r w:rsidR="00777325" w:rsidRPr="009A562E">
        <w:rPr>
          <w:rFonts w:ascii="Sylfaen" w:hAnsi="Sylfaen" w:cs="Sylfaen"/>
          <w:color w:val="131313"/>
          <w:lang w:val="hy-AM"/>
        </w:rPr>
        <w:t xml:space="preserve"> (այսուհետ՝ Զեկույց)</w:t>
      </w:r>
      <w:r w:rsidR="002404E5" w:rsidRPr="009A562E">
        <w:rPr>
          <w:rFonts w:ascii="Sylfaen" w:hAnsi="Sylfaen" w:cs="Sylfaen"/>
          <w:color w:val="131313"/>
          <w:lang w:val="hy-AM"/>
        </w:rPr>
        <w:t>, որ</w:t>
      </w:r>
      <w:r w:rsidR="008E6129" w:rsidRPr="009A562E">
        <w:rPr>
          <w:rFonts w:ascii="Sylfaen" w:hAnsi="Sylfaen" w:cs="Sylfaen"/>
          <w:color w:val="131313"/>
          <w:lang w:val="hy-AM"/>
        </w:rPr>
        <w:t>ի</w:t>
      </w:r>
      <w:r w:rsidR="002404E5" w:rsidRPr="009A562E">
        <w:rPr>
          <w:rFonts w:ascii="Sylfaen" w:hAnsi="Sylfaen" w:cs="Sylfaen"/>
          <w:color w:val="131313"/>
          <w:lang w:val="hy-AM"/>
        </w:rPr>
        <w:t xml:space="preserve"> նպատակ</w:t>
      </w:r>
      <w:r w:rsidR="008E6129" w:rsidRPr="009A562E">
        <w:rPr>
          <w:rFonts w:ascii="Sylfaen" w:hAnsi="Sylfaen" w:cs="Sylfaen"/>
          <w:color w:val="131313"/>
          <w:lang w:val="hy-AM"/>
        </w:rPr>
        <w:t xml:space="preserve">ն է </w:t>
      </w:r>
      <w:r w:rsidR="002404E5" w:rsidRPr="009A562E">
        <w:rPr>
          <w:rFonts w:ascii="Sylfaen" w:hAnsi="Sylfaen" w:cs="Sylfaen"/>
          <w:color w:val="131313"/>
          <w:lang w:val="hy-AM"/>
        </w:rPr>
        <w:t xml:space="preserve">190 երկրներում </w:t>
      </w:r>
      <w:r w:rsidR="00794972" w:rsidRPr="009A562E">
        <w:rPr>
          <w:rFonts w:ascii="Sylfaen" w:hAnsi="Sylfaen" w:cs="Sylfaen"/>
          <w:color w:val="131313"/>
          <w:lang w:val="hy-AM"/>
        </w:rPr>
        <w:t>գնահատ</w:t>
      </w:r>
      <w:r w:rsidR="002404E5" w:rsidRPr="009A562E">
        <w:rPr>
          <w:rFonts w:ascii="Sylfaen" w:hAnsi="Sylfaen" w:cs="Sylfaen"/>
          <w:color w:val="131313"/>
          <w:lang w:val="hy-AM"/>
        </w:rPr>
        <w:t>ել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1571A0" w:rsidRPr="009A562E">
        <w:rPr>
          <w:rFonts w:ascii="Sylfaen" w:hAnsi="Sylfaen" w:cs="Helvetica"/>
          <w:color w:val="131313"/>
          <w:lang w:val="hy-AM"/>
        </w:rPr>
        <w:t>գործարար միջավայր</w:t>
      </w:r>
      <w:r w:rsidR="00C829D1" w:rsidRPr="009A562E">
        <w:rPr>
          <w:rFonts w:ascii="Sylfaen" w:hAnsi="Sylfaen" w:cs="Helvetica"/>
          <w:color w:val="131313"/>
          <w:lang w:val="hy-AM"/>
        </w:rPr>
        <w:t xml:space="preserve">ում </w:t>
      </w:r>
      <w:r w:rsidR="001571A0" w:rsidRPr="009A562E">
        <w:rPr>
          <w:rFonts w:ascii="Sylfaen" w:hAnsi="Sylfaen" w:cs="Helvetica"/>
          <w:color w:val="131313"/>
          <w:lang w:val="hy-AM"/>
        </w:rPr>
        <w:t xml:space="preserve">ուղղակի ազդեցություն </w:t>
      </w:r>
      <w:r w:rsidR="00C420CC" w:rsidRPr="009A562E">
        <w:rPr>
          <w:rFonts w:ascii="Sylfaen" w:hAnsi="Sylfaen" w:cs="Helvetica"/>
          <w:color w:val="131313"/>
          <w:lang w:val="hy-AM"/>
        </w:rPr>
        <w:t>ունեցող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կարգավորումները</w:t>
      </w:r>
      <w:r w:rsidR="001571A0" w:rsidRPr="009A562E">
        <w:rPr>
          <w:rFonts w:ascii="Sylfaen" w:hAnsi="Sylfaen" w:cs="Sylfaen"/>
          <w:color w:val="131313"/>
          <w:lang w:val="hy-AM"/>
        </w:rPr>
        <w:t>։</w:t>
      </w:r>
      <w:r w:rsidR="009D10F6" w:rsidRPr="009A562E">
        <w:rPr>
          <w:rFonts w:ascii="Sylfaen" w:hAnsi="Sylfaen" w:cs="Helvetica"/>
          <w:color w:val="131313"/>
          <w:lang w:val="hy-AM"/>
        </w:rPr>
        <w:t xml:space="preserve"> </w:t>
      </w:r>
    </w:p>
    <w:p w:rsidR="00794972" w:rsidRPr="009A562E" w:rsidRDefault="00C420CC" w:rsidP="00F13F0E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ylfaen" w:hAnsi="Sylfaen"/>
          <w:color w:val="131313"/>
          <w:lang w:val="hy-AM"/>
        </w:rPr>
      </w:pPr>
      <w:r w:rsidRPr="009A562E">
        <w:rPr>
          <w:rFonts w:ascii="Sylfaen" w:hAnsi="Sylfaen" w:cs="Sylfaen"/>
          <w:color w:val="131313"/>
          <w:lang w:val="hy-AM"/>
        </w:rPr>
        <w:t>Վ</w:t>
      </w:r>
      <w:r w:rsidR="00794972" w:rsidRPr="009A562E">
        <w:rPr>
          <w:rFonts w:ascii="Sylfaen" w:hAnsi="Sylfaen" w:cs="Sylfaen"/>
          <w:color w:val="131313"/>
          <w:lang w:val="hy-AM"/>
        </w:rPr>
        <w:t>երջին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տարիներին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Pr="009A562E">
        <w:rPr>
          <w:rFonts w:ascii="Sylfaen" w:hAnsi="Sylfaen" w:cs="Helvetica"/>
          <w:color w:val="131313"/>
          <w:lang w:val="hy-AM"/>
        </w:rPr>
        <w:t xml:space="preserve">Հայաստանի Հանրապետությունում </w:t>
      </w:r>
      <w:r w:rsidR="00277B3E" w:rsidRPr="009A562E">
        <w:rPr>
          <w:rFonts w:ascii="Sylfaen" w:hAnsi="Sylfaen" w:cs="Helvetica"/>
          <w:color w:val="131313"/>
          <w:lang w:val="hy-AM"/>
        </w:rPr>
        <w:t>մի շարք էական բարեփոխումներ են իրականացվել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, </w:t>
      </w:r>
      <w:r w:rsidR="00794972" w:rsidRPr="009A562E">
        <w:rPr>
          <w:rFonts w:ascii="Sylfaen" w:hAnsi="Sylfaen" w:cs="Sylfaen"/>
          <w:color w:val="131313"/>
          <w:lang w:val="hy-AM"/>
        </w:rPr>
        <w:t>որոնք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իրենց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արտացոլումն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են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գտել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նաև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Համաշխարհային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բանկի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գնահատումներում</w:t>
      </w:r>
      <w:r w:rsidR="00794972" w:rsidRPr="009A562E">
        <w:rPr>
          <w:rFonts w:ascii="Sylfaen" w:hAnsi="Sylfaen" w:cs="Helvetica"/>
          <w:color w:val="131313"/>
          <w:lang w:val="hy-AM"/>
        </w:rPr>
        <w:t>:</w:t>
      </w:r>
      <w:r w:rsidR="00777325" w:rsidRPr="009A562E">
        <w:rPr>
          <w:rFonts w:ascii="Sylfaen" w:hAnsi="Sylfaen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Մասնավորապես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, </w:t>
      </w:r>
      <w:r w:rsidR="00794972" w:rsidRPr="009A562E">
        <w:rPr>
          <w:rFonts w:ascii="Sylfaen" w:hAnsi="Sylfaen" w:cs="Sylfaen"/>
          <w:color w:val="131313"/>
          <w:lang w:val="hy-AM"/>
        </w:rPr>
        <w:t>Համաշխարհային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բանկի</w:t>
      </w:r>
      <w:r w:rsidR="009D10F6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կողմից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2016 </w:t>
      </w:r>
      <w:r w:rsidR="00794972" w:rsidRPr="009A562E">
        <w:rPr>
          <w:rFonts w:ascii="Sylfaen" w:hAnsi="Sylfaen" w:cs="Sylfaen"/>
          <w:color w:val="131313"/>
          <w:lang w:val="hy-AM"/>
        </w:rPr>
        <w:t>թվականի</w:t>
      </w:r>
      <w:r w:rsidR="009D10F6" w:rsidRPr="009A562E">
        <w:rPr>
          <w:rFonts w:ascii="Sylfaen" w:hAnsi="Sylfaen" w:cs="Helvetica"/>
          <w:color w:val="131313"/>
          <w:lang w:val="hy-AM"/>
        </w:rPr>
        <w:t xml:space="preserve">ն </w:t>
      </w:r>
      <w:r w:rsidR="00794972" w:rsidRPr="009A562E">
        <w:rPr>
          <w:rFonts w:ascii="Sylfaen" w:hAnsi="Sylfaen" w:cs="Sylfaen"/>
          <w:color w:val="131313"/>
          <w:lang w:val="hy-AM"/>
        </w:rPr>
        <w:t>հրապարակ</w:t>
      </w:r>
      <w:r w:rsidR="00816F87" w:rsidRPr="009A562E">
        <w:rPr>
          <w:rFonts w:ascii="Sylfaen" w:hAnsi="Sylfaen" w:cs="Sylfaen"/>
          <w:color w:val="131313"/>
          <w:lang w:val="hy-AM"/>
        </w:rPr>
        <w:t>վ</w:t>
      </w:r>
      <w:r w:rsidR="00794972" w:rsidRPr="009A562E">
        <w:rPr>
          <w:rFonts w:ascii="Sylfaen" w:hAnsi="Sylfaen" w:cs="Sylfaen"/>
          <w:color w:val="131313"/>
          <w:lang w:val="hy-AM"/>
        </w:rPr>
        <w:t>ած</w:t>
      </w:r>
      <w:r w:rsidR="00794972" w:rsidRPr="009A562E">
        <w:rPr>
          <w:rFonts w:ascii="Sylfaen" w:hAnsi="Sylfaen" w:cs="Helvetica"/>
          <w:color w:val="131313"/>
          <w:lang w:val="hy-AM"/>
        </w:rPr>
        <w:t>` «</w:t>
      </w:r>
      <w:r w:rsidR="00794972" w:rsidRPr="009A562E">
        <w:rPr>
          <w:rFonts w:ascii="Sylfaen" w:hAnsi="Sylfaen" w:cs="Sylfaen"/>
          <w:color w:val="131313"/>
          <w:lang w:val="hy-AM"/>
        </w:rPr>
        <w:t>Գործարարությամբ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զբաղվելը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2017» </w:t>
      </w:r>
      <w:r w:rsidR="00794972" w:rsidRPr="009A562E">
        <w:rPr>
          <w:rFonts w:ascii="Sylfaen" w:hAnsi="Sylfaen" w:cs="Sylfaen"/>
          <w:color w:val="131313"/>
          <w:lang w:val="hy-AM"/>
        </w:rPr>
        <w:t>զեկույցի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համաձայն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` </w:t>
      </w:r>
      <w:r w:rsidR="00794972" w:rsidRPr="009A562E">
        <w:rPr>
          <w:rFonts w:ascii="Sylfaen" w:hAnsi="Sylfaen" w:cs="Sylfaen"/>
          <w:color w:val="131313"/>
          <w:lang w:val="hy-AM"/>
        </w:rPr>
        <w:t>Հայաստանը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190 </w:t>
      </w:r>
      <w:r w:rsidR="00794972" w:rsidRPr="009A562E">
        <w:rPr>
          <w:rFonts w:ascii="Sylfaen" w:hAnsi="Sylfaen" w:cs="Sylfaen"/>
          <w:color w:val="131313"/>
          <w:lang w:val="hy-AM"/>
        </w:rPr>
        <w:t>երկրների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շարքում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նախորդ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տարվա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վերագնահատված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6B1D6A" w:rsidRPr="009A562E">
        <w:rPr>
          <w:rFonts w:ascii="Sylfaen" w:hAnsi="Sylfaen" w:cs="Sylfaen"/>
          <w:color w:val="131313"/>
          <w:lang w:val="hy-AM"/>
        </w:rPr>
        <w:t>արդյունքներով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43-</w:t>
      </w:r>
      <w:r w:rsidR="00794972" w:rsidRPr="009A562E">
        <w:rPr>
          <w:rFonts w:ascii="Sylfaen" w:hAnsi="Sylfaen" w:cs="Sylfaen"/>
          <w:color w:val="131313"/>
          <w:lang w:val="hy-AM"/>
        </w:rPr>
        <w:t>րդ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տեղ</w:t>
      </w:r>
      <w:r w:rsidR="006B1D6A" w:rsidRPr="009A562E">
        <w:rPr>
          <w:rFonts w:ascii="Sylfaen" w:hAnsi="Sylfaen" w:cs="Sylfaen"/>
          <w:color w:val="131313"/>
          <w:lang w:val="hy-AM"/>
        </w:rPr>
        <w:t>ի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համեմատությամբ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բարելավել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է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իր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794972" w:rsidRPr="009A562E">
        <w:rPr>
          <w:rFonts w:ascii="Sylfaen" w:hAnsi="Sylfaen" w:cs="Sylfaen"/>
          <w:color w:val="131313"/>
          <w:lang w:val="hy-AM"/>
        </w:rPr>
        <w:t>դիրքը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5 </w:t>
      </w:r>
      <w:r w:rsidR="00794972" w:rsidRPr="009A562E">
        <w:rPr>
          <w:rFonts w:ascii="Sylfaen" w:hAnsi="Sylfaen" w:cs="Sylfaen"/>
          <w:color w:val="131313"/>
          <w:lang w:val="hy-AM"/>
        </w:rPr>
        <w:t>կետով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` </w:t>
      </w:r>
      <w:r w:rsidR="00794972" w:rsidRPr="009A562E">
        <w:rPr>
          <w:rFonts w:ascii="Sylfaen" w:hAnsi="Sylfaen" w:cs="Sylfaen"/>
          <w:color w:val="131313"/>
          <w:lang w:val="hy-AM"/>
        </w:rPr>
        <w:t>բարձրանալով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38-</w:t>
      </w:r>
      <w:r w:rsidR="00794972" w:rsidRPr="009A562E">
        <w:rPr>
          <w:rFonts w:ascii="Sylfaen" w:hAnsi="Sylfaen" w:cs="Sylfaen"/>
          <w:color w:val="131313"/>
          <w:lang w:val="hy-AM"/>
        </w:rPr>
        <w:t>րդ</w:t>
      </w:r>
      <w:r w:rsidR="00794972" w:rsidRPr="009A562E">
        <w:rPr>
          <w:rFonts w:ascii="Sylfaen" w:hAnsi="Sylfaen" w:cs="Helvetica"/>
          <w:color w:val="131313"/>
          <w:lang w:val="hy-AM"/>
        </w:rPr>
        <w:t xml:space="preserve"> </w:t>
      </w:r>
      <w:r w:rsidR="00C004C9" w:rsidRPr="009A562E">
        <w:rPr>
          <w:rFonts w:ascii="Sylfaen" w:hAnsi="Sylfaen" w:cs="Helvetica"/>
          <w:color w:val="131313"/>
          <w:lang w:val="hy-AM"/>
        </w:rPr>
        <w:t>հորիզոնականը</w:t>
      </w:r>
      <w:r w:rsidR="00777325" w:rsidRPr="009A562E">
        <w:rPr>
          <w:rFonts w:ascii="Sylfaen" w:hAnsi="Sylfaen" w:cs="Helvetica"/>
          <w:color w:val="131313"/>
          <w:lang w:val="hy-AM"/>
        </w:rPr>
        <w:t>:</w:t>
      </w:r>
    </w:p>
    <w:p w:rsidR="0045240A" w:rsidRPr="009A562E" w:rsidRDefault="0045240A" w:rsidP="00191FC8">
      <w:pPr>
        <w:pStyle w:val="mechtex"/>
        <w:spacing w:line="360" w:lineRule="auto"/>
        <w:ind w:firstLine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Զեկույցի շրջանակում երկրները գնահատվում են ըստ 10 ոլորտների, որոնցից մեկը «էլեկտրականության միացումն» է: </w:t>
      </w:r>
      <w:r w:rsidR="00362140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Նշված </w:t>
      </w: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ցուցիչը բնութագրվում է </w:t>
      </w:r>
      <w:r w:rsidR="0082690E" w:rsidRPr="009A562E">
        <w:rPr>
          <w:rFonts w:ascii="Sylfaen" w:hAnsi="Sylfaen" w:cs="Sylfaen"/>
          <w:color w:val="000000"/>
          <w:sz w:val="24"/>
          <w:szCs w:val="24"/>
          <w:lang w:val="hy-AM"/>
        </w:rPr>
        <w:t>նոր սպառողների սպառման համակարգերն էլեկտրական ցանցին միացնելու նպատակով իրականացվող գործընթացների քանակով, դրանց տևողությամբ, միացման վճարի մեծությամբ, ինչպես նաև սպասարկման որակի ցուցանիշներով:</w:t>
      </w:r>
      <w:r w:rsidR="009A562E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</w:p>
    <w:p w:rsidR="00DC713A" w:rsidRPr="009A562E" w:rsidRDefault="0082690E" w:rsidP="00191FC8">
      <w:pPr>
        <w:pStyle w:val="mechtex"/>
        <w:spacing w:line="360" w:lineRule="auto"/>
        <w:ind w:firstLine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191FC8" w:rsidRPr="009A562E">
        <w:rPr>
          <w:rFonts w:ascii="Sylfaen" w:hAnsi="Sylfaen" w:cs="Sylfaen"/>
          <w:color w:val="000000"/>
          <w:sz w:val="24"/>
          <w:szCs w:val="24"/>
          <w:lang w:val="hy-AM"/>
        </w:rPr>
        <w:t>լեկտրական ցանցին միացման գործընթացի բարելավման աշխատանքները մշտապես գտնվում են ՀՀ հանրային ծառայությունները կարգավորող հանձնաժողովի ուշադրության կենտրոնում: Նշված գործընթացի բարելավման ուղղությամբ հանձնաժողով</w:t>
      </w: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ը, համագործակցելով «Հայաստանի էլեկտրական ցանցեր» ՓԲԸ-ի հետ, 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2011 թվականից սկսած մի շարք փոփոխություններ </w:t>
      </w: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91FC8" w:rsidRPr="009A562E">
        <w:rPr>
          <w:rFonts w:ascii="Sylfaen" w:hAnsi="Sylfaen" w:cs="Sylfaen"/>
          <w:color w:val="000000"/>
          <w:sz w:val="24"/>
          <w:szCs w:val="24"/>
          <w:lang w:val="hy-AM"/>
        </w:rPr>
        <w:t>իրականաց</w:t>
      </w: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>ր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>ել էլեկտրական ցանցին նոր սպառողների միաց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մանն առնչվող իրավական ակտերում</w:t>
      </w:r>
      <w:r w:rsidR="00191FC8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, որոնք </w:t>
      </w: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>հիմք</w:t>
      </w:r>
      <w:r w:rsidR="00191FC8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են հանդիսացել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777325" w:rsidRPr="009A562E">
        <w:rPr>
          <w:rFonts w:ascii="Sylfaen" w:hAnsi="Sylfaen" w:cs="Sylfaen"/>
          <w:color w:val="000000"/>
          <w:sz w:val="24"/>
          <w:szCs w:val="24"/>
          <w:lang w:val="hy-AM"/>
        </w:rPr>
        <w:t>Զ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եկույցի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8D7F92" w:rsidRPr="009A562E">
        <w:rPr>
          <w:rFonts w:ascii="Sylfaen" w:hAnsi="Sylfaen" w:cs="Sylfaen"/>
          <w:color w:val="000000"/>
          <w:sz w:val="24"/>
          <w:szCs w:val="24"/>
          <w:lang w:val="hy-AM"/>
        </w:rPr>
        <w:t>«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>Էլեկտրական ցանցերին միացում</w:t>
      </w:r>
      <w:r w:rsidR="008D7F92" w:rsidRPr="009A562E">
        <w:rPr>
          <w:rFonts w:ascii="Sylfaen" w:hAnsi="Sylfaen" w:cs="Sylfaen"/>
          <w:color w:val="000000"/>
          <w:sz w:val="24"/>
          <w:szCs w:val="24"/>
          <w:lang w:val="hy-AM"/>
        </w:rPr>
        <w:t>»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ցուցիչի մասով Հայաստանի Հա</w:t>
      </w:r>
      <w:r w:rsidR="00191FC8" w:rsidRPr="009A562E">
        <w:rPr>
          <w:rFonts w:ascii="Sylfaen" w:hAnsi="Sylfaen" w:cs="Sylfaen"/>
          <w:color w:val="000000"/>
          <w:sz w:val="24"/>
          <w:szCs w:val="24"/>
          <w:lang w:val="hy-AM"/>
        </w:rPr>
        <w:t>նրապետության դիրքի բարելավման</w:t>
      </w:r>
      <w:r w:rsidR="00F267EE" w:rsidRPr="009A562E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: 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Մասնավորապես, հանձնաժողովի 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ընդունած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A4347" w:rsidRPr="009A562E">
        <w:rPr>
          <w:rFonts w:ascii="Sylfaen" w:hAnsi="Sylfaen"/>
          <w:color w:val="000000"/>
          <w:sz w:val="24"/>
          <w:szCs w:val="24"/>
          <w:lang w:val="hy-AM"/>
        </w:rPr>
        <w:t>որոշումներով</w:t>
      </w:r>
      <w:r w:rsidR="00EE38F1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պարբերաբար նվազեցվել են նոր 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>սպառողների սպառման համակարգեր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ն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էլեկտրական ցանցին միացնելու նպատակով միացման և մատակարարման պայմանագրեր կ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նքելու</w:t>
      </w:r>
      <w:r w:rsidR="009A562E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առավելագույն ժամկետները, 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>հստակեցվել</w:t>
      </w:r>
      <w:r w:rsidR="000679C9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և կրճատվել են </w:t>
      </w:r>
      <w:r w:rsidR="001A4347" w:rsidRPr="009A562E">
        <w:rPr>
          <w:rFonts w:ascii="Sylfaen" w:hAnsi="Sylfaen" w:cs="Sylfaen"/>
          <w:color w:val="000000"/>
          <w:sz w:val="24"/>
          <w:szCs w:val="24"/>
          <w:lang w:val="hy-AM"/>
        </w:rPr>
        <w:t>նոր սպառողների էլեկտրակ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ան ցանցին միացման գործընթացները,</w:t>
      </w:r>
      <w:r w:rsidR="009A562E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522DB0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ներդրվել 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522DB0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դիմումների ներկայացման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4F6A2C" w:rsidRPr="009A562E">
        <w:rPr>
          <w:rFonts w:ascii="Sylfaen" w:hAnsi="Sylfaen" w:cs="Sylfaen"/>
          <w:color w:val="000000"/>
          <w:sz w:val="24"/>
          <w:szCs w:val="24"/>
          <w:lang w:val="hy-AM"/>
        </w:rPr>
        <w:t>և պայմանագրերի կնքման էլեկտրոնային</w:t>
      </w:r>
      <w:r w:rsidR="00DC713A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համակարգ: </w:t>
      </w:r>
      <w:r w:rsidR="00E921D4" w:rsidRPr="009A562E">
        <w:rPr>
          <w:rFonts w:ascii="Sylfaen" w:hAnsi="Sylfaen" w:cs="Sylfaen"/>
          <w:color w:val="000000"/>
          <w:sz w:val="24"/>
          <w:szCs w:val="24"/>
          <w:lang w:val="hy-AM"/>
        </w:rPr>
        <w:t>Նշվածի ա</w:t>
      </w:r>
      <w:r w:rsidR="00581B89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րդյունքում, 2017 թվականի </w:t>
      </w:r>
      <w:r w:rsidR="00777325" w:rsidRPr="009A562E">
        <w:rPr>
          <w:rFonts w:ascii="Sylfaen" w:hAnsi="Sylfaen" w:cs="Sylfaen"/>
          <w:color w:val="000000"/>
          <w:sz w:val="24"/>
          <w:szCs w:val="24"/>
          <w:lang w:val="hy-AM"/>
        </w:rPr>
        <w:t>Զ</w:t>
      </w:r>
      <w:r w:rsidR="00F267EE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եկույցի </w:t>
      </w:r>
      <w:r w:rsidR="00581B89" w:rsidRPr="009A562E">
        <w:rPr>
          <w:rFonts w:ascii="Sylfaen" w:hAnsi="Sylfaen" w:cs="Sylfaen"/>
          <w:color w:val="000000"/>
          <w:sz w:val="24"/>
          <w:szCs w:val="24"/>
          <w:lang w:val="hy-AM"/>
        </w:rPr>
        <w:t>«Էլեկտրական</w:t>
      </w:r>
      <w:r w:rsidR="00913302" w:rsidRPr="009A562E">
        <w:rPr>
          <w:rFonts w:ascii="Sylfaen" w:hAnsi="Sylfaen" w:cs="Sylfaen"/>
          <w:color w:val="000000"/>
          <w:sz w:val="24"/>
          <w:szCs w:val="24"/>
          <w:lang w:val="hy-AM"/>
        </w:rPr>
        <w:t>ության</w:t>
      </w:r>
      <w:r w:rsidR="00581B89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միացում» ցուցիչի մասով Հայաստանի Հանրապետության դիրքը բարելավ</w:t>
      </w:r>
      <w:r w:rsidR="00E921D4" w:rsidRPr="009A562E">
        <w:rPr>
          <w:rFonts w:ascii="Sylfaen" w:hAnsi="Sylfaen" w:cs="Sylfaen"/>
          <w:color w:val="000000"/>
          <w:sz w:val="24"/>
          <w:szCs w:val="24"/>
          <w:lang w:val="hy-AM"/>
        </w:rPr>
        <w:t>վ</w:t>
      </w:r>
      <w:r w:rsidR="00581B89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ել է </w:t>
      </w:r>
      <w:r w:rsidR="00581B89" w:rsidRPr="009A562E">
        <w:rPr>
          <w:rFonts w:ascii="Sylfaen" w:hAnsi="Sylfaen" w:cs="Helvetica"/>
          <w:color w:val="131313"/>
          <w:sz w:val="24"/>
          <w:szCs w:val="24"/>
          <w:lang w:val="hy-AM"/>
        </w:rPr>
        <w:t xml:space="preserve">9 </w:t>
      </w:r>
      <w:r w:rsidR="00581B89" w:rsidRPr="009A562E">
        <w:rPr>
          <w:rFonts w:ascii="Sylfaen" w:hAnsi="Sylfaen" w:cs="Sylfaen"/>
          <w:color w:val="131313"/>
          <w:sz w:val="24"/>
          <w:szCs w:val="24"/>
          <w:lang w:val="hy-AM"/>
        </w:rPr>
        <w:t xml:space="preserve">կետով՝ 85-ից </w:t>
      </w:r>
      <w:r w:rsidR="00777325" w:rsidRPr="009A562E">
        <w:rPr>
          <w:rFonts w:ascii="Sylfaen" w:hAnsi="Sylfaen" w:cs="Sylfaen"/>
          <w:color w:val="131313"/>
          <w:sz w:val="24"/>
          <w:szCs w:val="24"/>
          <w:lang w:val="hy-AM"/>
        </w:rPr>
        <w:t xml:space="preserve">բարձրանալով 76-րդ </w:t>
      </w:r>
      <w:r w:rsidR="00004F0A" w:rsidRPr="009A562E">
        <w:rPr>
          <w:rFonts w:ascii="Sylfaen" w:hAnsi="Sylfaen" w:cs="Sylfaen"/>
          <w:color w:val="131313"/>
          <w:sz w:val="24"/>
          <w:szCs w:val="24"/>
          <w:lang w:val="hy-AM"/>
        </w:rPr>
        <w:t>հորիզոնականը</w:t>
      </w:r>
      <w:r w:rsidR="00777325" w:rsidRPr="009A562E">
        <w:rPr>
          <w:rFonts w:ascii="Sylfaen" w:hAnsi="Sylfaen" w:cs="Sylfaen"/>
          <w:color w:val="131313"/>
          <w:sz w:val="24"/>
          <w:szCs w:val="24"/>
          <w:lang w:val="hy-AM"/>
        </w:rPr>
        <w:t>:</w:t>
      </w:r>
    </w:p>
    <w:p w:rsidR="00004F0A" w:rsidRPr="009A562E" w:rsidRDefault="00F267EE" w:rsidP="00412E09">
      <w:pPr>
        <w:pStyle w:val="mechtex"/>
        <w:spacing w:line="360" w:lineRule="auto"/>
        <w:ind w:firstLine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2016 և </w:t>
      </w:r>
      <w:r w:rsidR="007C6958" w:rsidRPr="009A562E">
        <w:rPr>
          <w:rFonts w:ascii="Sylfaen" w:hAnsi="Sylfaen" w:cs="Sylfaen"/>
          <w:color w:val="000000"/>
          <w:sz w:val="24"/>
          <w:szCs w:val="24"/>
          <w:lang w:val="hy-AM"/>
        </w:rPr>
        <w:t>20</w:t>
      </w:r>
      <w:r w:rsidR="00004F0A" w:rsidRPr="009A562E">
        <w:rPr>
          <w:rFonts w:ascii="Sylfaen" w:hAnsi="Sylfaen" w:cs="Sylfaen"/>
          <w:color w:val="000000"/>
          <w:sz w:val="24"/>
          <w:szCs w:val="24"/>
          <w:lang w:val="hy-AM"/>
        </w:rPr>
        <w:t>17 թվականների ընթացքում շարունակվել են բարեփոխումները, որոնց արդյունքում էլեկտրական ցանցին միացման ժամկետները կրճատվել են 15 օրով, իս</w:t>
      </w:r>
      <w:r w:rsidR="007F524E" w:rsidRPr="009A562E">
        <w:rPr>
          <w:rFonts w:ascii="Sylfaen" w:hAnsi="Sylfaen" w:cs="Sylfaen"/>
          <w:color w:val="000000"/>
          <w:sz w:val="24"/>
          <w:szCs w:val="24"/>
          <w:lang w:val="hy-AM"/>
        </w:rPr>
        <w:t>կ գործընթացները՝ 1-ով։ Նշված փոփոխություններն</w:t>
      </w:r>
      <w:r w:rsidR="00004F0A" w:rsidRPr="009A562E">
        <w:rPr>
          <w:rFonts w:ascii="Sylfaen" w:hAnsi="Sylfaen" w:cs="Sylfaen"/>
          <w:color w:val="000000"/>
          <w:sz w:val="24"/>
          <w:szCs w:val="24"/>
          <w:lang w:val="hy-AM"/>
        </w:rPr>
        <w:t xml:space="preserve"> իրենց արտացոլումը կգտնեն «Գործարարությամբ զբաղվելը 2018» զեկույցում։</w:t>
      </w:r>
    </w:p>
    <w:p w:rsidR="00900475" w:rsidRPr="003C565B" w:rsidRDefault="00372C3A" w:rsidP="00412E09">
      <w:pPr>
        <w:pStyle w:val="mechtex"/>
        <w:spacing w:line="360" w:lineRule="auto"/>
        <w:ind w:firstLine="360"/>
        <w:jc w:val="both"/>
        <w:rPr>
          <w:rFonts w:ascii="Sylfaen" w:hAnsi="Sylfaen" w:cs="Sylfaen"/>
          <w:color w:val="000000"/>
          <w:szCs w:val="22"/>
          <w:lang w:val="hy-AM"/>
        </w:rPr>
      </w:pPr>
      <w:r w:rsidRPr="009A562E">
        <w:rPr>
          <w:rFonts w:ascii="Sylfaen" w:hAnsi="Sylfaen" w:cs="Sylfaen"/>
          <w:sz w:val="24"/>
          <w:szCs w:val="24"/>
          <w:lang w:val="hy-AM"/>
        </w:rPr>
        <w:t xml:space="preserve">Զեկույցի կազմման նպատակով Համաշխարհային բանկի կողմից հարցումներ </w:t>
      </w:r>
      <w:r w:rsidR="0085524C" w:rsidRPr="009A562E">
        <w:rPr>
          <w:rFonts w:ascii="Sylfaen" w:hAnsi="Sylfaen" w:cs="Sylfaen"/>
          <w:sz w:val="24"/>
          <w:szCs w:val="24"/>
          <w:lang w:val="hy-AM"/>
        </w:rPr>
        <w:t xml:space="preserve">են անցկացվում </w:t>
      </w:r>
      <w:r w:rsidRPr="009A562E">
        <w:rPr>
          <w:rFonts w:ascii="Sylfaen" w:hAnsi="Sylfaen" w:cs="Sylfaen"/>
          <w:sz w:val="24"/>
          <w:szCs w:val="24"/>
          <w:lang w:val="hy-AM"/>
        </w:rPr>
        <w:t xml:space="preserve">գործարարների (ռեսպոնդենտների) շրջանում: </w:t>
      </w:r>
      <w:r w:rsidR="00412E09" w:rsidRPr="009A562E">
        <w:rPr>
          <w:rFonts w:ascii="Sylfaen" w:hAnsi="Sylfaen" w:cs="Sylfaen"/>
          <w:sz w:val="24"/>
          <w:szCs w:val="24"/>
          <w:lang w:val="hy-AM"/>
        </w:rPr>
        <w:t>Հանրապետության դիրքի բարելավման աշխատանքներ</w:t>
      </w:r>
      <w:r w:rsidRPr="009A562E">
        <w:rPr>
          <w:rFonts w:ascii="Sylfaen" w:hAnsi="Sylfaen" w:cs="Sylfaen"/>
          <w:sz w:val="24"/>
          <w:szCs w:val="24"/>
          <w:lang w:val="hy-AM"/>
        </w:rPr>
        <w:t xml:space="preserve">ն արդյունավետ կազմակերպելու և </w:t>
      </w:r>
      <w:r w:rsidR="00412E09" w:rsidRPr="009A562E">
        <w:rPr>
          <w:rFonts w:ascii="Sylfaen" w:hAnsi="Sylfaen" w:cs="Sylfaen"/>
          <w:sz w:val="24"/>
          <w:szCs w:val="24"/>
          <w:lang w:val="hy-AM"/>
        </w:rPr>
        <w:t xml:space="preserve">Համաշխարհային բանկին իրականացված </w:t>
      </w:r>
      <w:r w:rsidR="00412E09" w:rsidRPr="009A562E">
        <w:rPr>
          <w:rFonts w:ascii="Sylfaen" w:hAnsi="Sylfaen" w:cs="Sylfaen"/>
          <w:sz w:val="24"/>
          <w:szCs w:val="24"/>
          <w:lang w:val="hy-AM"/>
        </w:rPr>
        <w:lastRenderedPageBreak/>
        <w:t>բարեփոխումների վերաբերյալ ստույգ տեղեկատվություն տրամադրելու</w:t>
      </w:r>
      <w:r w:rsidRPr="009A562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5524C" w:rsidRPr="009A562E">
        <w:rPr>
          <w:rFonts w:ascii="Sylfaen" w:hAnsi="Sylfaen" w:cs="Sylfaen"/>
          <w:sz w:val="24"/>
          <w:szCs w:val="24"/>
          <w:lang w:val="hy-AM"/>
        </w:rPr>
        <w:t xml:space="preserve">գործընթացում Ձեր մասնակցությունն ունենալու </w:t>
      </w:r>
      <w:r w:rsidR="00412E09" w:rsidRPr="009A562E">
        <w:rPr>
          <w:rFonts w:ascii="Sylfaen" w:hAnsi="Sylfaen" w:cs="Sylfaen"/>
          <w:sz w:val="24"/>
          <w:szCs w:val="24"/>
          <w:lang w:val="hy-AM"/>
        </w:rPr>
        <w:t xml:space="preserve">նպատակով` </w:t>
      </w:r>
      <w:r w:rsidR="006250F7" w:rsidRPr="009A562E">
        <w:rPr>
          <w:rFonts w:ascii="Sylfaen" w:hAnsi="Sylfaen" w:cs="Sylfaen"/>
          <w:sz w:val="24"/>
          <w:szCs w:val="24"/>
          <w:lang w:val="hy-AM"/>
        </w:rPr>
        <w:t>կարող եք</w:t>
      </w:r>
      <w:r w:rsidR="00412E09" w:rsidRPr="009A562E">
        <w:rPr>
          <w:rFonts w:ascii="Sylfaen" w:hAnsi="Sylfaen" w:cs="Sylfaen"/>
          <w:sz w:val="24"/>
          <w:szCs w:val="24"/>
          <w:lang w:val="hy-AM"/>
        </w:rPr>
        <w:t xml:space="preserve"> լրացնել հարցաթերթիկ</w:t>
      </w:r>
      <w:r w:rsidRPr="009A562E">
        <w:rPr>
          <w:rFonts w:ascii="Sylfaen" w:hAnsi="Sylfaen" w:cs="Sylfaen"/>
          <w:sz w:val="24"/>
          <w:szCs w:val="24"/>
          <w:lang w:val="hy-AM"/>
        </w:rPr>
        <w:t>ը, որը</w:t>
      </w:r>
      <w:r w:rsidR="00412E09" w:rsidRPr="009A562E">
        <w:rPr>
          <w:rFonts w:ascii="Sylfaen" w:hAnsi="Sylfaen" w:cs="Sylfaen"/>
          <w:sz w:val="24"/>
          <w:szCs w:val="24"/>
          <w:lang w:val="hy-AM"/>
        </w:rPr>
        <w:t xml:space="preserve"> հնարավոր է ներբեռնել </w:t>
      </w:r>
      <w:hyperlink r:id="rId8" w:history="1">
        <w:r w:rsidR="00412E09" w:rsidRPr="009A562E">
          <w:rPr>
            <w:rStyle w:val="ac"/>
            <w:rFonts w:ascii="Sylfaen" w:hAnsi="Sylfaen" w:cs="Sylfaen"/>
            <w:sz w:val="24"/>
            <w:szCs w:val="24"/>
            <w:lang w:val="hy-AM"/>
          </w:rPr>
          <w:t>http://www.doingbusiness.org/questionnaires</w:t>
        </w:r>
      </w:hyperlink>
      <w:r w:rsidR="00412E09" w:rsidRPr="009A562E">
        <w:rPr>
          <w:rFonts w:ascii="Sylfaen" w:hAnsi="Sylfaen" w:cs="Sylfaen"/>
          <w:sz w:val="24"/>
          <w:szCs w:val="24"/>
          <w:lang w:val="hy-AM"/>
        </w:rPr>
        <w:t xml:space="preserve"> հղման մի</w:t>
      </w:r>
      <w:r w:rsidRPr="009A562E">
        <w:rPr>
          <w:rFonts w:ascii="Sylfaen" w:hAnsi="Sylfaen" w:cs="Sylfaen"/>
          <w:sz w:val="24"/>
          <w:szCs w:val="24"/>
          <w:lang w:val="hy-AM"/>
        </w:rPr>
        <w:t>ջոցով</w:t>
      </w:r>
      <w:r w:rsidR="006250F7" w:rsidRPr="009A562E">
        <w:rPr>
          <w:rFonts w:ascii="Sylfaen" w:hAnsi="Sylfaen" w:cs="Sylfaen"/>
          <w:sz w:val="24"/>
          <w:szCs w:val="24"/>
          <w:lang w:val="hy-AM"/>
        </w:rPr>
        <w:t>:</w:t>
      </w:r>
      <w:r w:rsidR="003C565B" w:rsidRPr="009A562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7EE" w:rsidRPr="009A562E">
        <w:rPr>
          <w:rFonts w:ascii="Sylfaen" w:hAnsi="Sylfaen" w:cs="Sylfaen"/>
          <w:sz w:val="24"/>
          <w:szCs w:val="24"/>
          <w:lang w:val="hy-AM"/>
        </w:rPr>
        <w:t>Հ</w:t>
      </w:r>
      <w:r w:rsidR="00D12EA3" w:rsidRPr="009A562E">
        <w:rPr>
          <w:rFonts w:ascii="Sylfaen" w:hAnsi="Sylfaen" w:cs="Sylfaen"/>
          <w:sz w:val="24"/>
          <w:szCs w:val="24"/>
          <w:lang w:val="hy-AM"/>
        </w:rPr>
        <w:t xml:space="preserve">արցաթերթիկի լրացման </w:t>
      </w:r>
      <w:r w:rsidR="003C565B" w:rsidRPr="009A562E">
        <w:rPr>
          <w:rFonts w:ascii="Sylfaen" w:hAnsi="Sylfaen" w:cs="Sylfaen"/>
          <w:sz w:val="24"/>
          <w:szCs w:val="24"/>
          <w:lang w:val="hy-AM"/>
        </w:rPr>
        <w:t>հետ կապված</w:t>
      </w:r>
      <w:r w:rsidR="00F267EE" w:rsidRPr="009A562E">
        <w:rPr>
          <w:rFonts w:ascii="Sylfaen" w:hAnsi="Sylfaen" w:cs="Sylfaen"/>
          <w:sz w:val="24"/>
          <w:szCs w:val="24"/>
          <w:lang w:val="hy-AM"/>
        </w:rPr>
        <w:t xml:space="preserve"> հարցերի </w:t>
      </w:r>
      <w:r w:rsidR="003C565B" w:rsidRPr="009A562E">
        <w:rPr>
          <w:rFonts w:ascii="Sylfaen" w:hAnsi="Sylfaen" w:cs="Sylfaen"/>
          <w:sz w:val="24"/>
          <w:szCs w:val="24"/>
          <w:lang w:val="hy-AM"/>
        </w:rPr>
        <w:t>դեպքում կարող եք դիմել ՀՀ հանրային ծառայությունները կարգավորող հանձնաժողով</w:t>
      </w:r>
      <w:r w:rsidR="00C63747" w:rsidRPr="009A562E">
        <w:rPr>
          <w:rFonts w:ascii="Sylfaen" w:hAnsi="Sylfaen" w:cs="Sylfaen"/>
          <w:sz w:val="24"/>
          <w:szCs w:val="24"/>
          <w:lang w:val="hy-AM"/>
        </w:rPr>
        <w:t xml:space="preserve"> (010)</w:t>
      </w:r>
      <w:r w:rsidR="002613F5" w:rsidRPr="009A562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63747" w:rsidRPr="009A562E">
        <w:rPr>
          <w:rFonts w:ascii="Sylfaen" w:hAnsi="Sylfaen" w:cs="Sylfaen"/>
          <w:sz w:val="24"/>
          <w:szCs w:val="24"/>
          <w:lang w:val="hy-AM"/>
        </w:rPr>
        <w:t>528 533 (306) հեռախոսահամարով</w:t>
      </w:r>
      <w:r w:rsidR="003C565B" w:rsidRPr="009A562E">
        <w:rPr>
          <w:rFonts w:ascii="Sylfaen" w:hAnsi="Sylfaen" w:cs="Sylfaen"/>
          <w:sz w:val="24"/>
          <w:szCs w:val="24"/>
          <w:lang w:val="hy-AM"/>
        </w:rPr>
        <w:t>:</w:t>
      </w:r>
    </w:p>
    <w:sectPr w:rsidR="00900475" w:rsidRPr="003C565B" w:rsidSect="00900475">
      <w:pgSz w:w="11906" w:h="16838"/>
      <w:pgMar w:top="851" w:right="851" w:bottom="709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93" w:rsidRDefault="00B44993" w:rsidP="00900475">
      <w:r>
        <w:separator/>
      </w:r>
    </w:p>
  </w:endnote>
  <w:endnote w:type="continuationSeparator" w:id="0">
    <w:p w:rsidR="00B44993" w:rsidRDefault="00B44993" w:rsidP="0090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500000000000000"/>
    <w:charset w:val="CC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93" w:rsidRDefault="00B44993" w:rsidP="00900475">
      <w:r>
        <w:separator/>
      </w:r>
    </w:p>
  </w:footnote>
  <w:footnote w:type="continuationSeparator" w:id="0">
    <w:p w:rsidR="00B44993" w:rsidRDefault="00B44993" w:rsidP="0090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CC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60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9A6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788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6F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CB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6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2C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31438"/>
    <w:multiLevelType w:val="hybridMultilevel"/>
    <w:tmpl w:val="B20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F5975"/>
    <w:multiLevelType w:val="hybridMultilevel"/>
    <w:tmpl w:val="63D673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F05BAA"/>
    <w:multiLevelType w:val="hybridMultilevel"/>
    <w:tmpl w:val="50787838"/>
    <w:lvl w:ilvl="0" w:tplc="FD74FBA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48A47ED"/>
    <w:multiLevelType w:val="hybridMultilevel"/>
    <w:tmpl w:val="7668E5C0"/>
    <w:lvl w:ilvl="0" w:tplc="2952A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C63EE6"/>
    <w:multiLevelType w:val="hybridMultilevel"/>
    <w:tmpl w:val="93D4A6E2"/>
    <w:lvl w:ilvl="0" w:tplc="E5F0DEE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EFC6B15"/>
    <w:multiLevelType w:val="hybridMultilevel"/>
    <w:tmpl w:val="F3B629B2"/>
    <w:lvl w:ilvl="0" w:tplc="9FB46B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6226DDC"/>
    <w:multiLevelType w:val="hybridMultilevel"/>
    <w:tmpl w:val="BD2CECA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2E87A04"/>
    <w:multiLevelType w:val="hybridMultilevel"/>
    <w:tmpl w:val="F6105EB4"/>
    <w:lvl w:ilvl="0" w:tplc="FFB446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4AB24D1"/>
    <w:multiLevelType w:val="hybridMultilevel"/>
    <w:tmpl w:val="4C085F3C"/>
    <w:lvl w:ilvl="0" w:tplc="E5F0D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4B8"/>
    <w:rsid w:val="00004F0A"/>
    <w:rsid w:val="00005627"/>
    <w:rsid w:val="00007956"/>
    <w:rsid w:val="00014DE4"/>
    <w:rsid w:val="00017E10"/>
    <w:rsid w:val="00025BB1"/>
    <w:rsid w:val="000357C5"/>
    <w:rsid w:val="00041636"/>
    <w:rsid w:val="00043318"/>
    <w:rsid w:val="00044BF0"/>
    <w:rsid w:val="00044D9A"/>
    <w:rsid w:val="000471B7"/>
    <w:rsid w:val="000525F1"/>
    <w:rsid w:val="000537B2"/>
    <w:rsid w:val="00055FD6"/>
    <w:rsid w:val="000566FE"/>
    <w:rsid w:val="00056CEE"/>
    <w:rsid w:val="000647B7"/>
    <w:rsid w:val="00065E1D"/>
    <w:rsid w:val="000671DD"/>
    <w:rsid w:val="000679C9"/>
    <w:rsid w:val="0007717C"/>
    <w:rsid w:val="00080DB7"/>
    <w:rsid w:val="00081489"/>
    <w:rsid w:val="0008153F"/>
    <w:rsid w:val="00082335"/>
    <w:rsid w:val="000830CD"/>
    <w:rsid w:val="00084559"/>
    <w:rsid w:val="0008764E"/>
    <w:rsid w:val="00095CEA"/>
    <w:rsid w:val="00097347"/>
    <w:rsid w:val="000A02F7"/>
    <w:rsid w:val="000B725B"/>
    <w:rsid w:val="000C0D45"/>
    <w:rsid w:val="000C55A2"/>
    <w:rsid w:val="000D12F6"/>
    <w:rsid w:val="000D49A3"/>
    <w:rsid w:val="000D7A70"/>
    <w:rsid w:val="000E7E84"/>
    <w:rsid w:val="000F271A"/>
    <w:rsid w:val="00103991"/>
    <w:rsid w:val="00104704"/>
    <w:rsid w:val="0011598F"/>
    <w:rsid w:val="0012214A"/>
    <w:rsid w:val="00122EAB"/>
    <w:rsid w:val="00127682"/>
    <w:rsid w:val="00130F56"/>
    <w:rsid w:val="00133492"/>
    <w:rsid w:val="00134EAF"/>
    <w:rsid w:val="001368BC"/>
    <w:rsid w:val="00140A24"/>
    <w:rsid w:val="001527EB"/>
    <w:rsid w:val="00156ADB"/>
    <w:rsid w:val="001571A0"/>
    <w:rsid w:val="001631B2"/>
    <w:rsid w:val="0016328E"/>
    <w:rsid w:val="00166B79"/>
    <w:rsid w:val="001672D4"/>
    <w:rsid w:val="00167AC5"/>
    <w:rsid w:val="001708F4"/>
    <w:rsid w:val="001709EC"/>
    <w:rsid w:val="001744A3"/>
    <w:rsid w:val="00177A26"/>
    <w:rsid w:val="00177BC7"/>
    <w:rsid w:val="00181127"/>
    <w:rsid w:val="00182C2B"/>
    <w:rsid w:val="00190960"/>
    <w:rsid w:val="00191FC8"/>
    <w:rsid w:val="00197AA8"/>
    <w:rsid w:val="001A0495"/>
    <w:rsid w:val="001A4347"/>
    <w:rsid w:val="001B3C5C"/>
    <w:rsid w:val="001B45E4"/>
    <w:rsid w:val="001B52C1"/>
    <w:rsid w:val="001B62C8"/>
    <w:rsid w:val="001D1BFD"/>
    <w:rsid w:val="001D1F93"/>
    <w:rsid w:val="001D7D6E"/>
    <w:rsid w:val="001E0C56"/>
    <w:rsid w:val="001E765A"/>
    <w:rsid w:val="001F2314"/>
    <w:rsid w:val="001F4237"/>
    <w:rsid w:val="00200F4E"/>
    <w:rsid w:val="00202F71"/>
    <w:rsid w:val="002051BC"/>
    <w:rsid w:val="002067C3"/>
    <w:rsid w:val="00217766"/>
    <w:rsid w:val="00220A06"/>
    <w:rsid w:val="00223B88"/>
    <w:rsid w:val="00233ACA"/>
    <w:rsid w:val="00233D97"/>
    <w:rsid w:val="002404E5"/>
    <w:rsid w:val="002448DA"/>
    <w:rsid w:val="00250F2B"/>
    <w:rsid w:val="00252112"/>
    <w:rsid w:val="0025259D"/>
    <w:rsid w:val="002550CF"/>
    <w:rsid w:val="002613F5"/>
    <w:rsid w:val="00277B3E"/>
    <w:rsid w:val="002870D4"/>
    <w:rsid w:val="00290493"/>
    <w:rsid w:val="00290DDD"/>
    <w:rsid w:val="002A1C89"/>
    <w:rsid w:val="002A3CAC"/>
    <w:rsid w:val="002A4C72"/>
    <w:rsid w:val="002B0877"/>
    <w:rsid w:val="002B65DB"/>
    <w:rsid w:val="002C32E4"/>
    <w:rsid w:val="002C4B2A"/>
    <w:rsid w:val="002C65D3"/>
    <w:rsid w:val="002C6F39"/>
    <w:rsid w:val="002D0909"/>
    <w:rsid w:val="002D2261"/>
    <w:rsid w:val="002D66BE"/>
    <w:rsid w:val="002D73F0"/>
    <w:rsid w:val="002E2E52"/>
    <w:rsid w:val="002E5FAE"/>
    <w:rsid w:val="002E605D"/>
    <w:rsid w:val="002F1471"/>
    <w:rsid w:val="002F75FB"/>
    <w:rsid w:val="003009CC"/>
    <w:rsid w:val="00306767"/>
    <w:rsid w:val="00314553"/>
    <w:rsid w:val="003215B0"/>
    <w:rsid w:val="00322905"/>
    <w:rsid w:val="00325DE2"/>
    <w:rsid w:val="00326EE7"/>
    <w:rsid w:val="00337E21"/>
    <w:rsid w:val="00340014"/>
    <w:rsid w:val="00340343"/>
    <w:rsid w:val="00352226"/>
    <w:rsid w:val="00362140"/>
    <w:rsid w:val="003666EE"/>
    <w:rsid w:val="00366D27"/>
    <w:rsid w:val="00366E01"/>
    <w:rsid w:val="0037119A"/>
    <w:rsid w:val="00372804"/>
    <w:rsid w:val="00372C3A"/>
    <w:rsid w:val="00372D71"/>
    <w:rsid w:val="00372E53"/>
    <w:rsid w:val="00382C0E"/>
    <w:rsid w:val="003833CC"/>
    <w:rsid w:val="00392CBA"/>
    <w:rsid w:val="003943EE"/>
    <w:rsid w:val="003960EC"/>
    <w:rsid w:val="00397FDE"/>
    <w:rsid w:val="003A2286"/>
    <w:rsid w:val="003A4990"/>
    <w:rsid w:val="003B5723"/>
    <w:rsid w:val="003B76C8"/>
    <w:rsid w:val="003C565B"/>
    <w:rsid w:val="003D04C0"/>
    <w:rsid w:val="003D0B51"/>
    <w:rsid w:val="003D1E00"/>
    <w:rsid w:val="003D4EDF"/>
    <w:rsid w:val="003D5FD9"/>
    <w:rsid w:val="003E43FD"/>
    <w:rsid w:val="003E7257"/>
    <w:rsid w:val="003F090A"/>
    <w:rsid w:val="003F4E4E"/>
    <w:rsid w:val="00405CA6"/>
    <w:rsid w:val="00406F8D"/>
    <w:rsid w:val="00412E09"/>
    <w:rsid w:val="00423982"/>
    <w:rsid w:val="0042502C"/>
    <w:rsid w:val="004412EC"/>
    <w:rsid w:val="004422E2"/>
    <w:rsid w:val="00444540"/>
    <w:rsid w:val="00445D21"/>
    <w:rsid w:val="00446EB8"/>
    <w:rsid w:val="00451188"/>
    <w:rsid w:val="0045240A"/>
    <w:rsid w:val="00452D97"/>
    <w:rsid w:val="00454615"/>
    <w:rsid w:val="00457C0A"/>
    <w:rsid w:val="00463629"/>
    <w:rsid w:val="00476112"/>
    <w:rsid w:val="00480C45"/>
    <w:rsid w:val="004832CC"/>
    <w:rsid w:val="00484C5A"/>
    <w:rsid w:val="0049189D"/>
    <w:rsid w:val="00495131"/>
    <w:rsid w:val="0049790E"/>
    <w:rsid w:val="004A176C"/>
    <w:rsid w:val="004A1A33"/>
    <w:rsid w:val="004A49E9"/>
    <w:rsid w:val="004B0D3C"/>
    <w:rsid w:val="004B7094"/>
    <w:rsid w:val="004C48E4"/>
    <w:rsid w:val="004C76C7"/>
    <w:rsid w:val="004D261D"/>
    <w:rsid w:val="004D3430"/>
    <w:rsid w:val="004D5452"/>
    <w:rsid w:val="004F3A79"/>
    <w:rsid w:val="004F6A2C"/>
    <w:rsid w:val="004F6FC4"/>
    <w:rsid w:val="004F7FFB"/>
    <w:rsid w:val="0050080A"/>
    <w:rsid w:val="00512EE8"/>
    <w:rsid w:val="005157D1"/>
    <w:rsid w:val="00521B1B"/>
    <w:rsid w:val="00521E14"/>
    <w:rsid w:val="00522DB0"/>
    <w:rsid w:val="00526F4A"/>
    <w:rsid w:val="00540AB0"/>
    <w:rsid w:val="00556316"/>
    <w:rsid w:val="00556827"/>
    <w:rsid w:val="005618B7"/>
    <w:rsid w:val="00565146"/>
    <w:rsid w:val="00581B89"/>
    <w:rsid w:val="005857EA"/>
    <w:rsid w:val="00587023"/>
    <w:rsid w:val="00591711"/>
    <w:rsid w:val="005A0DED"/>
    <w:rsid w:val="005A2B9C"/>
    <w:rsid w:val="005A3D44"/>
    <w:rsid w:val="005B7A14"/>
    <w:rsid w:val="005D0ABE"/>
    <w:rsid w:val="005D0BAD"/>
    <w:rsid w:val="005D0F7F"/>
    <w:rsid w:val="005D13CC"/>
    <w:rsid w:val="005D4CFD"/>
    <w:rsid w:val="005E0F8C"/>
    <w:rsid w:val="005E424A"/>
    <w:rsid w:val="005E5FEE"/>
    <w:rsid w:val="005F417A"/>
    <w:rsid w:val="00602053"/>
    <w:rsid w:val="00604904"/>
    <w:rsid w:val="006056ED"/>
    <w:rsid w:val="00607F33"/>
    <w:rsid w:val="0061093E"/>
    <w:rsid w:val="006111C9"/>
    <w:rsid w:val="00616B3D"/>
    <w:rsid w:val="00620DC5"/>
    <w:rsid w:val="006250F7"/>
    <w:rsid w:val="00632CDF"/>
    <w:rsid w:val="006352F3"/>
    <w:rsid w:val="00644296"/>
    <w:rsid w:val="00650BDF"/>
    <w:rsid w:val="00654AB0"/>
    <w:rsid w:val="00665A1F"/>
    <w:rsid w:val="00665D48"/>
    <w:rsid w:val="00673104"/>
    <w:rsid w:val="00683D4C"/>
    <w:rsid w:val="006840CF"/>
    <w:rsid w:val="00686112"/>
    <w:rsid w:val="006867C2"/>
    <w:rsid w:val="00686AC6"/>
    <w:rsid w:val="00690485"/>
    <w:rsid w:val="0069191F"/>
    <w:rsid w:val="006A2F0B"/>
    <w:rsid w:val="006B1D6A"/>
    <w:rsid w:val="006B2188"/>
    <w:rsid w:val="006B3B61"/>
    <w:rsid w:val="006C2BB4"/>
    <w:rsid w:val="006C342A"/>
    <w:rsid w:val="006C68B1"/>
    <w:rsid w:val="006D7EBC"/>
    <w:rsid w:val="006D7F37"/>
    <w:rsid w:val="006E3B39"/>
    <w:rsid w:val="006E5126"/>
    <w:rsid w:val="006E51B9"/>
    <w:rsid w:val="006F2782"/>
    <w:rsid w:val="006F2F1A"/>
    <w:rsid w:val="006F6553"/>
    <w:rsid w:val="00704EDC"/>
    <w:rsid w:val="00711D4D"/>
    <w:rsid w:val="00714754"/>
    <w:rsid w:val="00723C6D"/>
    <w:rsid w:val="00726F8B"/>
    <w:rsid w:val="007273D2"/>
    <w:rsid w:val="007301C0"/>
    <w:rsid w:val="007304F9"/>
    <w:rsid w:val="00736785"/>
    <w:rsid w:val="00736A75"/>
    <w:rsid w:val="00741892"/>
    <w:rsid w:val="0074769E"/>
    <w:rsid w:val="0075483A"/>
    <w:rsid w:val="00764AE8"/>
    <w:rsid w:val="00766D53"/>
    <w:rsid w:val="0077035A"/>
    <w:rsid w:val="0077463F"/>
    <w:rsid w:val="00775243"/>
    <w:rsid w:val="0077591F"/>
    <w:rsid w:val="00777325"/>
    <w:rsid w:val="0078059F"/>
    <w:rsid w:val="007838CB"/>
    <w:rsid w:val="00785DB2"/>
    <w:rsid w:val="00786515"/>
    <w:rsid w:val="00794972"/>
    <w:rsid w:val="007A75B0"/>
    <w:rsid w:val="007B2EB9"/>
    <w:rsid w:val="007B6255"/>
    <w:rsid w:val="007C6958"/>
    <w:rsid w:val="007D123D"/>
    <w:rsid w:val="007D3AA7"/>
    <w:rsid w:val="007D516D"/>
    <w:rsid w:val="007D7B59"/>
    <w:rsid w:val="007E05DC"/>
    <w:rsid w:val="007E146D"/>
    <w:rsid w:val="007E4C4D"/>
    <w:rsid w:val="007E5E32"/>
    <w:rsid w:val="007E705F"/>
    <w:rsid w:val="007F524E"/>
    <w:rsid w:val="00800CDB"/>
    <w:rsid w:val="008024CB"/>
    <w:rsid w:val="00802D58"/>
    <w:rsid w:val="00805814"/>
    <w:rsid w:val="00816F87"/>
    <w:rsid w:val="008207A1"/>
    <w:rsid w:val="0082156B"/>
    <w:rsid w:val="0082690E"/>
    <w:rsid w:val="00833B5A"/>
    <w:rsid w:val="00833E06"/>
    <w:rsid w:val="0085524C"/>
    <w:rsid w:val="00861567"/>
    <w:rsid w:val="00865A30"/>
    <w:rsid w:val="00867223"/>
    <w:rsid w:val="00867F65"/>
    <w:rsid w:val="00872BD8"/>
    <w:rsid w:val="00873023"/>
    <w:rsid w:val="00873460"/>
    <w:rsid w:val="00873FC1"/>
    <w:rsid w:val="008870D6"/>
    <w:rsid w:val="00887416"/>
    <w:rsid w:val="00887714"/>
    <w:rsid w:val="00890AED"/>
    <w:rsid w:val="00893893"/>
    <w:rsid w:val="008961A0"/>
    <w:rsid w:val="008A5230"/>
    <w:rsid w:val="008B5D56"/>
    <w:rsid w:val="008B639D"/>
    <w:rsid w:val="008D1922"/>
    <w:rsid w:val="008D7F92"/>
    <w:rsid w:val="008E6129"/>
    <w:rsid w:val="008F2745"/>
    <w:rsid w:val="008F62C6"/>
    <w:rsid w:val="008F6F0E"/>
    <w:rsid w:val="008F7A99"/>
    <w:rsid w:val="00900475"/>
    <w:rsid w:val="00907F1D"/>
    <w:rsid w:val="00913302"/>
    <w:rsid w:val="0091344F"/>
    <w:rsid w:val="00915008"/>
    <w:rsid w:val="0094076F"/>
    <w:rsid w:val="009537C2"/>
    <w:rsid w:val="00953B05"/>
    <w:rsid w:val="00956111"/>
    <w:rsid w:val="00970009"/>
    <w:rsid w:val="00976301"/>
    <w:rsid w:val="00987936"/>
    <w:rsid w:val="009A48AE"/>
    <w:rsid w:val="009A562E"/>
    <w:rsid w:val="009B4D03"/>
    <w:rsid w:val="009C2405"/>
    <w:rsid w:val="009C2F05"/>
    <w:rsid w:val="009C6AFF"/>
    <w:rsid w:val="009C7FF8"/>
    <w:rsid w:val="009D0813"/>
    <w:rsid w:val="009D10F6"/>
    <w:rsid w:val="009D33E9"/>
    <w:rsid w:val="009E01E9"/>
    <w:rsid w:val="009E2204"/>
    <w:rsid w:val="009E7D9D"/>
    <w:rsid w:val="009F6CDB"/>
    <w:rsid w:val="00A1219A"/>
    <w:rsid w:val="00A203F3"/>
    <w:rsid w:val="00A206F1"/>
    <w:rsid w:val="00A20AB2"/>
    <w:rsid w:val="00A20C92"/>
    <w:rsid w:val="00A22DB8"/>
    <w:rsid w:val="00A2361B"/>
    <w:rsid w:val="00A24F52"/>
    <w:rsid w:val="00A33B34"/>
    <w:rsid w:val="00A35871"/>
    <w:rsid w:val="00A40FA3"/>
    <w:rsid w:val="00A503EF"/>
    <w:rsid w:val="00A51DCF"/>
    <w:rsid w:val="00A614B8"/>
    <w:rsid w:val="00A657BE"/>
    <w:rsid w:val="00A8004C"/>
    <w:rsid w:val="00A814C9"/>
    <w:rsid w:val="00A81667"/>
    <w:rsid w:val="00A81E31"/>
    <w:rsid w:val="00A87525"/>
    <w:rsid w:val="00A950E4"/>
    <w:rsid w:val="00AA5D6A"/>
    <w:rsid w:val="00AA7B2F"/>
    <w:rsid w:val="00AB0EFF"/>
    <w:rsid w:val="00AB192C"/>
    <w:rsid w:val="00AC096C"/>
    <w:rsid w:val="00AC140C"/>
    <w:rsid w:val="00AD219A"/>
    <w:rsid w:val="00AE3242"/>
    <w:rsid w:val="00AE7C72"/>
    <w:rsid w:val="00AF2484"/>
    <w:rsid w:val="00AF4352"/>
    <w:rsid w:val="00AF4502"/>
    <w:rsid w:val="00AF6EC4"/>
    <w:rsid w:val="00B0095C"/>
    <w:rsid w:val="00B02D76"/>
    <w:rsid w:val="00B077EB"/>
    <w:rsid w:val="00B20317"/>
    <w:rsid w:val="00B22E34"/>
    <w:rsid w:val="00B415D2"/>
    <w:rsid w:val="00B43739"/>
    <w:rsid w:val="00B44993"/>
    <w:rsid w:val="00B611AD"/>
    <w:rsid w:val="00B6722A"/>
    <w:rsid w:val="00B7234C"/>
    <w:rsid w:val="00B74DC1"/>
    <w:rsid w:val="00B753F4"/>
    <w:rsid w:val="00B81CB6"/>
    <w:rsid w:val="00B83845"/>
    <w:rsid w:val="00B84FAE"/>
    <w:rsid w:val="00B864B7"/>
    <w:rsid w:val="00B9450D"/>
    <w:rsid w:val="00BA0669"/>
    <w:rsid w:val="00BA5085"/>
    <w:rsid w:val="00BB0925"/>
    <w:rsid w:val="00BB21F6"/>
    <w:rsid w:val="00BB4A2B"/>
    <w:rsid w:val="00BC4A6B"/>
    <w:rsid w:val="00BE331C"/>
    <w:rsid w:val="00C004C9"/>
    <w:rsid w:val="00C12A71"/>
    <w:rsid w:val="00C13469"/>
    <w:rsid w:val="00C16CBA"/>
    <w:rsid w:val="00C305AD"/>
    <w:rsid w:val="00C35A1F"/>
    <w:rsid w:val="00C420CC"/>
    <w:rsid w:val="00C421FC"/>
    <w:rsid w:val="00C63747"/>
    <w:rsid w:val="00C64992"/>
    <w:rsid w:val="00C65565"/>
    <w:rsid w:val="00C65BE5"/>
    <w:rsid w:val="00C661E0"/>
    <w:rsid w:val="00C733BD"/>
    <w:rsid w:val="00C80BF5"/>
    <w:rsid w:val="00C816FD"/>
    <w:rsid w:val="00C829D1"/>
    <w:rsid w:val="00C940FE"/>
    <w:rsid w:val="00C94CC7"/>
    <w:rsid w:val="00CA2CEA"/>
    <w:rsid w:val="00CA585B"/>
    <w:rsid w:val="00CB0204"/>
    <w:rsid w:val="00CB08D4"/>
    <w:rsid w:val="00CB1B83"/>
    <w:rsid w:val="00CB1C84"/>
    <w:rsid w:val="00CC0C42"/>
    <w:rsid w:val="00CC183A"/>
    <w:rsid w:val="00CC33D6"/>
    <w:rsid w:val="00CD0F4B"/>
    <w:rsid w:val="00CD519F"/>
    <w:rsid w:val="00CE5295"/>
    <w:rsid w:val="00CE7550"/>
    <w:rsid w:val="00D00519"/>
    <w:rsid w:val="00D02D5F"/>
    <w:rsid w:val="00D068DF"/>
    <w:rsid w:val="00D123BF"/>
    <w:rsid w:val="00D12EA3"/>
    <w:rsid w:val="00D25C2B"/>
    <w:rsid w:val="00D34476"/>
    <w:rsid w:val="00D45E71"/>
    <w:rsid w:val="00D524ED"/>
    <w:rsid w:val="00D54496"/>
    <w:rsid w:val="00D566B8"/>
    <w:rsid w:val="00D67638"/>
    <w:rsid w:val="00D72B76"/>
    <w:rsid w:val="00D740BC"/>
    <w:rsid w:val="00D81B94"/>
    <w:rsid w:val="00D82965"/>
    <w:rsid w:val="00D91382"/>
    <w:rsid w:val="00D92671"/>
    <w:rsid w:val="00D96628"/>
    <w:rsid w:val="00D9691A"/>
    <w:rsid w:val="00DA3E44"/>
    <w:rsid w:val="00DC713A"/>
    <w:rsid w:val="00DC767B"/>
    <w:rsid w:val="00DE297E"/>
    <w:rsid w:val="00DE75B8"/>
    <w:rsid w:val="00DF525C"/>
    <w:rsid w:val="00DF543E"/>
    <w:rsid w:val="00E04629"/>
    <w:rsid w:val="00E10482"/>
    <w:rsid w:val="00E10AAA"/>
    <w:rsid w:val="00E1167E"/>
    <w:rsid w:val="00E1281F"/>
    <w:rsid w:val="00E26530"/>
    <w:rsid w:val="00E33F47"/>
    <w:rsid w:val="00E41DE9"/>
    <w:rsid w:val="00E45250"/>
    <w:rsid w:val="00E45F15"/>
    <w:rsid w:val="00E51C11"/>
    <w:rsid w:val="00E55A53"/>
    <w:rsid w:val="00E5739A"/>
    <w:rsid w:val="00E57DC6"/>
    <w:rsid w:val="00E61ACE"/>
    <w:rsid w:val="00E70555"/>
    <w:rsid w:val="00E705E8"/>
    <w:rsid w:val="00E7109D"/>
    <w:rsid w:val="00E76A02"/>
    <w:rsid w:val="00E77366"/>
    <w:rsid w:val="00E81352"/>
    <w:rsid w:val="00E84D70"/>
    <w:rsid w:val="00E86D2B"/>
    <w:rsid w:val="00E921D4"/>
    <w:rsid w:val="00E930E9"/>
    <w:rsid w:val="00E950C1"/>
    <w:rsid w:val="00EA17E4"/>
    <w:rsid w:val="00EA7942"/>
    <w:rsid w:val="00EA7FE3"/>
    <w:rsid w:val="00EC253C"/>
    <w:rsid w:val="00EC4F39"/>
    <w:rsid w:val="00ED0FFF"/>
    <w:rsid w:val="00EE05F8"/>
    <w:rsid w:val="00EE38F1"/>
    <w:rsid w:val="00EE51F8"/>
    <w:rsid w:val="00F0014E"/>
    <w:rsid w:val="00F03E85"/>
    <w:rsid w:val="00F11F55"/>
    <w:rsid w:val="00F13F0E"/>
    <w:rsid w:val="00F150AB"/>
    <w:rsid w:val="00F257A0"/>
    <w:rsid w:val="00F267EE"/>
    <w:rsid w:val="00F55C68"/>
    <w:rsid w:val="00F6076C"/>
    <w:rsid w:val="00F67166"/>
    <w:rsid w:val="00F77D04"/>
    <w:rsid w:val="00F80FA5"/>
    <w:rsid w:val="00F84937"/>
    <w:rsid w:val="00F90DF8"/>
    <w:rsid w:val="00FA216A"/>
    <w:rsid w:val="00FB317A"/>
    <w:rsid w:val="00FB46AF"/>
    <w:rsid w:val="00FB4D97"/>
    <w:rsid w:val="00FC6B15"/>
    <w:rsid w:val="00FE0F78"/>
    <w:rsid w:val="00FE40F6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07CDE2-BD35-4514-A3B2-66875E6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B7"/>
    <w:rPr>
      <w:rFonts w:ascii="ArTarumianTimes" w:hAnsi="ArTarumianTimes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D67638"/>
    <w:pPr>
      <w:keepNext/>
      <w:spacing w:before="240" w:after="60"/>
      <w:jc w:val="right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12F6"/>
    <w:pPr>
      <w:keepNext/>
      <w:jc w:val="center"/>
      <w:outlineLvl w:val="2"/>
    </w:pPr>
    <w:rPr>
      <w:rFonts w:ascii="Arial Armenian" w:hAnsi="Arial Armenian"/>
      <w:sz w:val="30"/>
      <w:szCs w:val="20"/>
      <w:lang w:eastAsia="en-US"/>
    </w:rPr>
  </w:style>
  <w:style w:type="paragraph" w:styleId="4">
    <w:name w:val="heading 4"/>
    <w:basedOn w:val="a"/>
    <w:next w:val="a"/>
    <w:qFormat/>
    <w:rsid w:val="000D12F6"/>
    <w:pPr>
      <w:keepNext/>
      <w:jc w:val="center"/>
      <w:outlineLvl w:val="3"/>
    </w:pPr>
    <w:rPr>
      <w:rFonts w:ascii="Times Armenian" w:hAnsi="Times Armeni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makargox">
    <w:name w:val="hamakargox"/>
    <w:rsid w:val="0075483A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hh">
    <w:name w:val="hh"/>
    <w:rsid w:val="006D7F37"/>
    <w:pPr>
      <w:jc w:val="center"/>
    </w:pPr>
    <w:rPr>
      <w:rFonts w:ascii="Dallak Time" w:hAnsi="Dallak Time"/>
      <w:b/>
      <w:spacing w:val="30"/>
      <w:sz w:val="28"/>
      <w:szCs w:val="26"/>
    </w:rPr>
  </w:style>
  <w:style w:type="paragraph" w:customStyle="1" w:styleId="aa">
    <w:name w:val="aa"/>
    <w:rsid w:val="003B5723"/>
    <w:pPr>
      <w:pBdr>
        <w:bottom w:val="thinThickSmallGap" w:sz="18" w:space="1" w:color="808080"/>
      </w:pBdr>
      <w:spacing w:before="240"/>
      <w:jc w:val="center"/>
    </w:pPr>
    <w:rPr>
      <w:rFonts w:ascii="Dallak Time" w:hAnsi="Dallak Time"/>
      <w:b/>
      <w:spacing w:val="80"/>
      <w:sz w:val="32"/>
      <w:szCs w:val="32"/>
      <w:lang w:val="ru-RU" w:eastAsia="ru-RU"/>
    </w:rPr>
  </w:style>
  <w:style w:type="paragraph" w:customStyle="1" w:styleId="adres">
    <w:name w:val="adres"/>
    <w:rsid w:val="006D7F37"/>
    <w:pPr>
      <w:jc w:val="center"/>
    </w:pPr>
    <w:rPr>
      <w:rFonts w:ascii="Arial Armenian" w:hAnsi="Arial Armenian"/>
      <w:spacing w:val="40"/>
      <w:sz w:val="16"/>
      <w:szCs w:val="16"/>
    </w:rPr>
  </w:style>
  <w:style w:type="paragraph" w:customStyle="1" w:styleId="katarox">
    <w:name w:val="katarox"/>
    <w:basedOn w:val="a"/>
    <w:rsid w:val="0075483A"/>
    <w:pPr>
      <w:keepNext/>
      <w:spacing w:before="120"/>
      <w:ind w:firstLine="397"/>
    </w:pPr>
    <w:rPr>
      <w:rFonts w:ascii="GHEA Grapalat" w:hAnsi="GHEA Grapalat"/>
      <w:b/>
      <w:sz w:val="16"/>
    </w:rPr>
  </w:style>
  <w:style w:type="paragraph" w:customStyle="1" w:styleId="namak">
    <w:name w:val="namak"/>
    <w:basedOn w:val="a"/>
    <w:link w:val="namak0"/>
    <w:rsid w:val="0075483A"/>
    <w:pPr>
      <w:spacing w:line="400" w:lineRule="exact"/>
      <w:ind w:firstLine="397"/>
      <w:jc w:val="both"/>
    </w:pPr>
    <w:rPr>
      <w:rFonts w:ascii="GHEA Grapalat" w:hAnsi="GHEA Grapalat"/>
      <w:spacing w:val="-4"/>
    </w:rPr>
  </w:style>
  <w:style w:type="paragraph" w:customStyle="1" w:styleId="namakihasceater">
    <w:name w:val="namaki hasceater"/>
    <w:autoRedefine/>
    <w:rsid w:val="001A4347"/>
    <w:pPr>
      <w:spacing w:line="276" w:lineRule="auto"/>
      <w:jc w:val="right"/>
    </w:pPr>
    <w:rPr>
      <w:rFonts w:ascii="GHEA Grapalat" w:hAnsi="GHEA Grapalat" w:cs="Arial"/>
      <w:b/>
      <w:bCs/>
      <w:i/>
      <w:iCs/>
      <w:noProof/>
      <w:spacing w:val="-4"/>
      <w:sz w:val="26"/>
      <w:szCs w:val="26"/>
      <w:lang w:eastAsia="ru-RU"/>
    </w:rPr>
  </w:style>
  <w:style w:type="paragraph" w:customStyle="1" w:styleId="nrnamakipatasxane">
    <w:name w:val="nr namaki patasxane"/>
    <w:rsid w:val="0075483A"/>
    <w:pPr>
      <w:spacing w:line="240" w:lineRule="exact"/>
      <w:ind w:left="397"/>
    </w:pPr>
    <w:rPr>
      <w:rFonts w:ascii="GHEA Grapalat" w:hAnsi="GHEA Grapalat"/>
      <w:spacing w:val="-4"/>
      <w:lang w:eastAsia="ru-RU"/>
    </w:rPr>
  </w:style>
  <w:style w:type="paragraph" w:customStyle="1" w:styleId="paron">
    <w:name w:val="paron"/>
    <w:basedOn w:val="nrnamakipatasxane"/>
    <w:rsid w:val="00953B05"/>
    <w:pPr>
      <w:spacing w:before="480" w:line="360" w:lineRule="auto"/>
      <w:ind w:left="0" w:firstLine="397"/>
    </w:pPr>
    <w:rPr>
      <w:sz w:val="24"/>
    </w:rPr>
  </w:style>
  <w:style w:type="paragraph" w:customStyle="1" w:styleId="storagrutun">
    <w:name w:val="storagrutun"/>
    <w:autoRedefine/>
    <w:rsid w:val="003F090A"/>
    <w:pPr>
      <w:spacing w:line="360" w:lineRule="auto"/>
      <w:ind w:left="3969"/>
      <w:jc w:val="right"/>
    </w:pPr>
    <w:rPr>
      <w:rFonts w:ascii="GHEA Grapalat" w:hAnsi="GHEA Grapalat" w:cs="Arial"/>
      <w:b/>
      <w:bCs/>
      <w:i/>
      <w:iCs/>
      <w:spacing w:val="-4"/>
      <w:sz w:val="26"/>
      <w:szCs w:val="26"/>
      <w:lang w:eastAsia="ru-RU"/>
    </w:rPr>
  </w:style>
  <w:style w:type="paragraph" w:customStyle="1" w:styleId="namak1">
    <w:name w:val="Стиль namak"/>
    <w:basedOn w:val="namak"/>
    <w:link w:val="namak2"/>
    <w:rsid w:val="00445D21"/>
    <w:rPr>
      <w:rFonts w:ascii="Sylfaen" w:hAnsi="Sylfaen"/>
    </w:rPr>
  </w:style>
  <w:style w:type="character" w:customStyle="1" w:styleId="namak0">
    <w:name w:val="namak Знак"/>
    <w:link w:val="namak"/>
    <w:rsid w:val="0075483A"/>
    <w:rPr>
      <w:rFonts w:ascii="GHEA Grapalat" w:hAnsi="GHEA Grapalat"/>
      <w:spacing w:val="-4"/>
      <w:sz w:val="24"/>
      <w:szCs w:val="24"/>
      <w:lang w:val="en-US" w:eastAsia="ru-RU" w:bidi="ar-SA"/>
    </w:rPr>
  </w:style>
  <w:style w:type="character" w:customStyle="1" w:styleId="namak2">
    <w:name w:val="Стиль namak Знак"/>
    <w:link w:val="namak1"/>
    <w:rsid w:val="00445D21"/>
    <w:rPr>
      <w:rFonts w:ascii="Sylfaen" w:hAnsi="Sylfaen"/>
      <w:spacing w:val="-4"/>
      <w:sz w:val="24"/>
      <w:szCs w:val="24"/>
      <w:lang w:val="en-US" w:eastAsia="ru-RU" w:bidi="ar-SA"/>
    </w:rPr>
  </w:style>
  <w:style w:type="paragraph" w:styleId="a3">
    <w:name w:val="Balloon Text"/>
    <w:basedOn w:val="a"/>
    <w:link w:val="a4"/>
    <w:rsid w:val="00A20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06F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1567"/>
    <w:pPr>
      <w:ind w:left="720"/>
      <w:contextualSpacing/>
    </w:pPr>
  </w:style>
  <w:style w:type="paragraph" w:customStyle="1" w:styleId="mechtex">
    <w:name w:val="mechtex"/>
    <w:basedOn w:val="a"/>
    <w:link w:val="mechtexChar"/>
    <w:rsid w:val="00F90DF8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basedOn w:val="a0"/>
    <w:link w:val="mechtex"/>
    <w:rsid w:val="00F90DF8"/>
    <w:rPr>
      <w:rFonts w:ascii="Arial Armenian" w:hAnsi="Arial Armenian"/>
      <w:sz w:val="22"/>
      <w:lang w:eastAsia="ru-RU"/>
    </w:rPr>
  </w:style>
  <w:style w:type="paragraph" w:styleId="a6">
    <w:name w:val="header"/>
    <w:basedOn w:val="a"/>
    <w:link w:val="a7"/>
    <w:rsid w:val="00900475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900475"/>
    <w:rPr>
      <w:rFonts w:ascii="ArTarumianTimes" w:hAnsi="ArTarumianTimes"/>
      <w:sz w:val="24"/>
      <w:szCs w:val="24"/>
      <w:lang w:eastAsia="ru-RU"/>
    </w:rPr>
  </w:style>
  <w:style w:type="paragraph" w:styleId="a8">
    <w:name w:val="footer"/>
    <w:basedOn w:val="a"/>
    <w:link w:val="a9"/>
    <w:rsid w:val="00900475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900475"/>
    <w:rPr>
      <w:rFonts w:ascii="ArTarumianTimes" w:hAnsi="ArTarumianTimes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94972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c">
    <w:name w:val="Hyperlink"/>
    <w:rsid w:val="00412E09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157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/questionnai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ya%20Eghiazaryan\Desktop\blank%20Nazary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DC4E-8FF2-45F3-A76D-4E4B81C7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Nazaryan.dot</Template>
  <TotalTime>269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PSRC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 Eghiazaryan</dc:creator>
  <cp:lastModifiedBy>Smbat Aghababyan</cp:lastModifiedBy>
  <cp:revision>46</cp:revision>
  <cp:lastPrinted>2017-10-10T13:03:00Z</cp:lastPrinted>
  <dcterms:created xsi:type="dcterms:W3CDTF">2017-10-02T11:49:00Z</dcterms:created>
  <dcterms:modified xsi:type="dcterms:W3CDTF">2017-10-11T10:40:00Z</dcterms:modified>
</cp:coreProperties>
</file>